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F19BC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736423" w:rsidRDefault="00E936E1" w:rsidP="00C33B8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SHËRBIM</w:t>
      </w:r>
      <w:r w:rsidR="00C33B8A" w:rsidRPr="00736423">
        <w:rPr>
          <w:b/>
          <w:bCs/>
          <w:sz w:val="22"/>
          <w:szCs w:val="22"/>
        </w:rPr>
        <w:t xml:space="preserve">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D8661B">
        <w:rPr>
          <w:b/>
          <w:iCs/>
          <w:color w:val="0000C8"/>
          <w:sz w:val="22"/>
          <w:szCs w:val="22"/>
        </w:rPr>
        <w:t>22.08.2023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D5F33">
              <w:rPr>
                <w:b/>
                <w:iCs/>
                <w:color w:val="0000C8"/>
                <w:sz w:val="22"/>
                <w:szCs w:val="22"/>
              </w:rPr>
              <w:t>121/07</w:t>
            </w:r>
            <w:r w:rsidR="00A01799">
              <w:rPr>
                <w:b/>
                <w:iCs/>
                <w:color w:val="0000C8"/>
                <w:sz w:val="22"/>
                <w:szCs w:val="22"/>
              </w:rPr>
              <w:t>-2023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F19BC">
              <w:rPr>
                <w:b/>
                <w:iCs/>
                <w:color w:val="0000C8"/>
                <w:sz w:val="22"/>
                <w:szCs w:val="22"/>
              </w:rPr>
            </w:r>
            <w:r w:rsidR="002F19BC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per Distribuim dhe Furnizim me Energji Elektrike sh.a.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Sumeja Kodra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A64FA">
              <w:rPr>
                <w:b/>
                <w:iCs/>
                <w:color w:val="0000C8"/>
                <w:sz w:val="22"/>
                <w:szCs w:val="22"/>
              </w:rPr>
              <w:t>1419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Email: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sumeja.kodra</w:t>
            </w:r>
            <w:r w:rsidR="0027243F" w:rsidRPr="00736423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F19BC">
              <w:rPr>
                <w:b/>
                <w:iCs/>
                <w:color w:val="0000C8"/>
                <w:sz w:val="22"/>
                <w:szCs w:val="22"/>
              </w:rPr>
            </w:r>
            <w:r w:rsidR="002F19BC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F19BC">
              <w:rPr>
                <w:b/>
                <w:iCs/>
                <w:color w:val="0000C8"/>
                <w:sz w:val="22"/>
                <w:szCs w:val="22"/>
              </w:rPr>
            </w:r>
            <w:r w:rsidR="002F19BC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736423" w:rsidRPr="00A01799" w:rsidRDefault="00334EC6" w:rsidP="003A713C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34EC6">
              <w:rPr>
                <w:b/>
                <w:color w:val="0000C8"/>
                <w:sz w:val="22"/>
                <w:szCs w:val="22"/>
              </w:rPr>
              <w:t>Shërbimet e mirëmbajtjes së veturave PEUGEOT dhe FORD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F19BC">
              <w:rPr>
                <w:b/>
                <w:bCs/>
                <w:sz w:val="22"/>
                <w:szCs w:val="22"/>
              </w:rPr>
            </w:r>
            <w:r w:rsidR="002F19BC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936E1" w:rsidP="00ED28E6">
            <w:pPr>
              <w:rPr>
                <w:b/>
                <w:bCs/>
                <w:sz w:val="22"/>
                <w:szCs w:val="22"/>
              </w:rPr>
            </w:pPr>
            <w:r w:rsidRPr="00E936E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E936E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F19BC">
              <w:rPr>
                <w:b/>
                <w:bCs/>
                <w:sz w:val="22"/>
                <w:szCs w:val="22"/>
              </w:rPr>
            </w:r>
            <w:r w:rsidR="002F19BC">
              <w:rPr>
                <w:b/>
                <w:bCs/>
                <w:sz w:val="22"/>
                <w:szCs w:val="22"/>
              </w:rPr>
              <w:fldChar w:fldCharType="separate"/>
            </w:r>
            <w:r w:rsidRPr="00E936E1"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  <w:r w:rsidR="00B83A45" w:rsidRPr="00E936E1">
              <w:rPr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936E1" w:rsidP="00ED28E6">
            <w:pPr>
              <w:rPr>
                <w:b/>
                <w:bCs/>
                <w:sz w:val="22"/>
                <w:szCs w:val="22"/>
              </w:rPr>
            </w:pPr>
            <w:r w:rsidRPr="00E936E1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Pr="00E936E1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F19BC">
              <w:rPr>
                <w:b/>
                <w:iCs/>
                <w:color w:val="0000C8"/>
                <w:sz w:val="22"/>
                <w:szCs w:val="22"/>
              </w:rPr>
            </w:r>
            <w:r w:rsidR="002F19BC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E936E1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7"/>
            <w:r w:rsidR="00B83A45" w:rsidRPr="00E936E1">
              <w:rPr>
                <w:b/>
                <w:iCs/>
                <w:color w:val="0000C8"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936E1" w:rsidRDefault="00E936E1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  <w:r w:rsidR="00410B40" w:rsidRPr="00E936E1">
              <w:rPr>
                <w:sz w:val="22"/>
                <w:szCs w:val="22"/>
              </w:rPr>
              <w:t xml:space="preserve"> </w:t>
            </w:r>
            <w:r w:rsidR="00B83A45" w:rsidRPr="00E936E1">
              <w:rPr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E936E1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E936E1" w:rsidRPr="0027243F" w:rsidRDefault="00E936E1" w:rsidP="00ED28E6">
            <w:pPr>
              <w:rPr>
                <w:sz w:val="22"/>
                <w:szCs w:val="22"/>
              </w:rPr>
            </w:pPr>
          </w:p>
          <w:p w:rsidR="00B83A45" w:rsidRPr="0027243F" w:rsidRDefault="00F72BFF" w:rsidP="00ED28E6">
            <w:pPr>
              <w:rPr>
                <w:sz w:val="22"/>
                <w:szCs w:val="22"/>
              </w:rPr>
            </w:pPr>
            <w:r w:rsidRPr="00646FC6">
              <w:rPr>
                <w:b/>
                <w:iCs/>
                <w:color w:val="0000C8"/>
                <w:sz w:val="22"/>
                <w:szCs w:val="22"/>
              </w:rPr>
              <w:t xml:space="preserve">Vendpunishtja e </w:t>
            </w:r>
            <w:r>
              <w:rPr>
                <w:b/>
                <w:iCs/>
                <w:color w:val="0000C8"/>
                <w:sz w:val="22"/>
                <w:szCs w:val="22"/>
              </w:rPr>
              <w:t>O.E.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2F19B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E936E1" w:rsidRDefault="004D099C" w:rsidP="00C203E5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E936E1">
              <w:rPr>
                <w:b/>
                <w:iCs/>
                <w:color w:val="0000C8"/>
                <w:sz w:val="22"/>
                <w:szCs w:val="22"/>
              </w:rPr>
              <w:t xml:space="preserve">Kontrate publike </w:t>
            </w:r>
            <w:r w:rsidR="00D17122" w:rsidRPr="00E936E1">
              <w:rPr>
                <w:b/>
                <w:iCs/>
                <w:color w:val="0000C8"/>
                <w:sz w:val="22"/>
                <w:szCs w:val="22"/>
              </w:rPr>
              <w:t xml:space="preserve"> korniz</w:t>
            </w:r>
            <w:r w:rsidR="00EA58D3" w:rsidRPr="00E936E1">
              <w:rPr>
                <w:b/>
                <w:iCs/>
                <w:color w:val="0000C8"/>
                <w:sz w:val="22"/>
                <w:szCs w:val="22"/>
              </w:rPr>
              <w:t xml:space="preserve">ë me një </w:t>
            </w:r>
            <w:r w:rsidR="00D17122" w:rsidRPr="00E936E1">
              <w:rPr>
                <w:b/>
                <w:iCs/>
                <w:color w:val="0000C8"/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E936E1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E936E1" w:rsidRDefault="00E936E1" w:rsidP="00C203E5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E936E1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13"/>
                  <w:r w:rsidRPr="00E936E1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2F19B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E936E1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E936E1" w:rsidRDefault="00D17122" w:rsidP="002E2A0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E936E1">
              <w:rPr>
                <w:b/>
                <w:iCs/>
                <w:color w:val="0000C8"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E936E1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2E2A03" w:rsidRPr="00E936E1" w:rsidRDefault="00E936E1" w:rsidP="002E2A03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E936E1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0" w:name="Check15"/>
                  <w:r w:rsidRPr="00E936E1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2F19B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E936E1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C7496D">
        <w:trPr>
          <w:trHeight w:val="104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736423" w:rsidRPr="0027243F" w:rsidRDefault="00736423" w:rsidP="00443A34">
            <w:pPr>
              <w:rPr>
                <w:b/>
                <w:bCs/>
                <w:sz w:val="22"/>
                <w:szCs w:val="22"/>
              </w:rPr>
            </w:pPr>
          </w:p>
          <w:p w:rsidR="00443A34" w:rsidRPr="00736423" w:rsidRDefault="00520692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520692">
              <w:rPr>
                <w:b/>
                <w:color w:val="0000C8"/>
                <w:sz w:val="22"/>
                <w:szCs w:val="22"/>
              </w:rPr>
              <w:t>Shërbimet e mirëmbajtjes së veturave PEUGEOT dhe FORD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3D58FA" w:rsidRDefault="00443A34" w:rsidP="003D58FA">
            <w:pPr>
              <w:ind w:right="113"/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bookmarkStart w:id="22" w:name="_GoBack"/>
            <w:r w:rsidR="00520692" w:rsidRPr="00520692">
              <w:rPr>
                <w:b/>
                <w:iCs/>
                <w:color w:val="0000C8"/>
                <w:sz w:val="22"/>
                <w:szCs w:val="22"/>
              </w:rPr>
              <w:t>50112000-3</w:t>
            </w:r>
            <w:bookmarkEnd w:id="22"/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3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2F19B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D8661B" w:rsidRDefault="00EA58D3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D8661B" w:rsidRDefault="00D8661B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19"/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8661B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D8661B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D8661B" w:rsidRDefault="00D8661B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6" w:name="Check20"/>
                  <w:r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b/>
                      <w:bCs/>
                      <w:sz w:val="22"/>
                      <w:szCs w:val="22"/>
                    </w:rPr>
                  </w:r>
                  <w:r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7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 w:rsidR="00D8661B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8" w:name="Check23"/>
            <w:r w:rsidR="00D8661B">
              <w:rPr>
                <w:sz w:val="22"/>
                <w:szCs w:val="22"/>
              </w:rPr>
              <w:instrText xml:space="preserve"> FORMCHECKBOX </w:instrText>
            </w:r>
            <w:r w:rsidR="00D8661B">
              <w:rPr>
                <w:sz w:val="22"/>
                <w:szCs w:val="22"/>
              </w:rPr>
            </w:r>
            <w:r w:rsidR="00D8661B">
              <w:rPr>
                <w:sz w:val="22"/>
                <w:szCs w:val="22"/>
              </w:rPr>
              <w:fldChar w:fldCharType="end"/>
            </w:r>
            <w:bookmarkEnd w:id="28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7553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6440"/>
            </w:tblGrid>
            <w:tr w:rsidR="00216BAC" w:rsidRPr="0027243F" w:rsidTr="00F72BFF">
              <w:trPr>
                <w:trHeight w:val="466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F72BFF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6440" w:type="dxa"/>
                </w:tcPr>
                <w:p w:rsidR="00216BAC" w:rsidRPr="0027243F" w:rsidRDefault="00216BAC" w:rsidP="00F72BFF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F72BFF" w:rsidRPr="0027243F" w:rsidTr="00F72BFF">
              <w:trPr>
                <w:trHeight w:val="196"/>
                <w:jc w:val="center"/>
              </w:trPr>
              <w:tc>
                <w:tcPr>
                  <w:tcW w:w="1113" w:type="dxa"/>
                </w:tcPr>
                <w:p w:rsidR="00F72BFF" w:rsidRPr="0027243F" w:rsidRDefault="00F72BFF" w:rsidP="00F72BFF">
                  <w:pPr>
                    <w:overflowPunct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440" w:type="dxa"/>
                </w:tcPr>
                <w:p w:rsidR="00F72BFF" w:rsidRPr="00F5034E" w:rsidRDefault="00F72BFF" w:rsidP="00F72BF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Shërbimet e mirëmbajtjes së veturave PEUGEOT</w:t>
                  </w:r>
                </w:p>
              </w:tc>
            </w:tr>
            <w:tr w:rsidR="00F72BFF" w:rsidRPr="0027243F" w:rsidTr="00F72BFF">
              <w:trPr>
                <w:trHeight w:val="106"/>
                <w:jc w:val="center"/>
              </w:trPr>
              <w:tc>
                <w:tcPr>
                  <w:tcW w:w="1113" w:type="dxa"/>
                </w:tcPr>
                <w:p w:rsidR="00F72BFF" w:rsidRPr="0027243F" w:rsidRDefault="00F72BFF" w:rsidP="00F72BFF">
                  <w:pPr>
                    <w:overflowPunct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440" w:type="dxa"/>
                </w:tcPr>
                <w:p w:rsidR="00F72BFF" w:rsidRPr="00F5034E" w:rsidRDefault="00F72BFF" w:rsidP="00F72BFF">
                  <w:pPr>
                    <w:tabs>
                      <w:tab w:val="left" w:pos="1402"/>
                    </w:tabs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Shërbimet e mirëmbajtjes së veturave FORD</w:t>
                  </w:r>
                </w:p>
              </w:tc>
            </w:tr>
          </w:tbl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Default="00AC3717" w:rsidP="00E25B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F72BFF">
              <w:rPr>
                <w:b/>
                <w:iCs/>
                <w:color w:val="0000C8"/>
                <w:sz w:val="22"/>
                <w:szCs w:val="22"/>
              </w:rPr>
              <w:t>1</w:t>
            </w:r>
            <w:r w:rsidR="00861F6B">
              <w:rPr>
                <w:b/>
                <w:iCs/>
                <w:color w:val="0000C8"/>
                <w:sz w:val="22"/>
                <w:szCs w:val="22"/>
              </w:rPr>
              <w:t>1</w:t>
            </w:r>
            <w:r w:rsidR="00F72BFF">
              <w:rPr>
                <w:b/>
                <w:iCs/>
                <w:color w:val="0000C8"/>
                <w:sz w:val="22"/>
                <w:szCs w:val="22"/>
              </w:rPr>
              <w:t>0</w:t>
            </w:r>
            <w:r w:rsidR="00E936E1">
              <w:rPr>
                <w:b/>
                <w:iCs/>
                <w:color w:val="0000C8"/>
                <w:sz w:val="22"/>
                <w:szCs w:val="22"/>
              </w:rPr>
              <w:t>,000</w:t>
            </w:r>
            <w:r w:rsidR="003D58FA">
              <w:rPr>
                <w:b/>
                <w:iCs/>
                <w:color w:val="0000C8"/>
                <w:sz w:val="22"/>
                <w:szCs w:val="22"/>
              </w:rPr>
              <w:t>.00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:rsidR="00F72BFF" w:rsidRDefault="00F72BFF" w:rsidP="00E25B91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910" w:type="dxa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6390"/>
            </w:tblGrid>
            <w:tr w:rsidR="00F72BFF" w:rsidRPr="00F5034E" w:rsidTr="00F72BFF">
              <w:trPr>
                <w:trHeight w:val="70"/>
              </w:trPr>
              <w:tc>
                <w:tcPr>
                  <w:tcW w:w="1080" w:type="dxa"/>
                </w:tcPr>
                <w:p w:rsidR="00F72BFF" w:rsidRPr="00F5034E" w:rsidRDefault="00F72BFF" w:rsidP="00F72BF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F5034E">
                    <w:rPr>
                      <w:b/>
                      <w:iCs/>
                      <w:color w:val="0000C8"/>
                      <w:sz w:val="22"/>
                      <w:szCs w:val="22"/>
                    </w:rPr>
                    <w:t>Lot Nr.</w:t>
                  </w:r>
                </w:p>
              </w:tc>
              <w:tc>
                <w:tcPr>
                  <w:tcW w:w="6390" w:type="dxa"/>
                </w:tcPr>
                <w:p w:rsidR="00F72BFF" w:rsidRPr="00F5034E" w:rsidRDefault="00F72BFF" w:rsidP="00F72BF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F5034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    Vlera pa TVSH të Kosovës</w:t>
                  </w:r>
                </w:p>
              </w:tc>
            </w:tr>
            <w:tr w:rsidR="00F72BFF" w:rsidRPr="00F5034E" w:rsidTr="00F72BFF">
              <w:trPr>
                <w:trHeight w:val="66"/>
              </w:trPr>
              <w:tc>
                <w:tcPr>
                  <w:tcW w:w="1080" w:type="dxa"/>
                </w:tcPr>
                <w:p w:rsidR="00F72BFF" w:rsidRPr="00F5034E" w:rsidRDefault="00F72BFF" w:rsidP="00F72BF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F5034E">
                    <w:rPr>
                      <w:b/>
                      <w:iCs/>
                      <w:color w:val="0000C8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390" w:type="dxa"/>
                </w:tcPr>
                <w:p w:rsidR="00F72BFF" w:rsidRPr="00F5034E" w:rsidRDefault="00861F6B" w:rsidP="00F72BF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2</w:t>
                  </w:r>
                  <w:r w:rsidR="00F72BFF">
                    <w:rPr>
                      <w:b/>
                      <w:iCs/>
                      <w:color w:val="0000C8"/>
                      <w:sz w:val="22"/>
                      <w:szCs w:val="22"/>
                    </w:rPr>
                    <w:t>0,000.00 € pa TVSH</w:t>
                  </w:r>
                </w:p>
              </w:tc>
            </w:tr>
            <w:tr w:rsidR="00F72BFF" w:rsidRPr="00F5034E" w:rsidTr="00F72BFF">
              <w:trPr>
                <w:trHeight w:val="66"/>
              </w:trPr>
              <w:tc>
                <w:tcPr>
                  <w:tcW w:w="1080" w:type="dxa"/>
                </w:tcPr>
                <w:p w:rsidR="00F72BFF" w:rsidRPr="00F5034E" w:rsidRDefault="00F72BFF" w:rsidP="00F72BF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F5034E">
                    <w:rPr>
                      <w:b/>
                      <w:iCs/>
                      <w:color w:val="0000C8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390" w:type="dxa"/>
                </w:tcPr>
                <w:p w:rsidR="00F72BFF" w:rsidRPr="00F5034E" w:rsidRDefault="00F72BFF" w:rsidP="00F72BFF">
                  <w:pPr>
                    <w:tabs>
                      <w:tab w:val="left" w:pos="1402"/>
                    </w:tabs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90,000.00 € pa TVSH</w:t>
                  </w:r>
                </w:p>
              </w:tc>
            </w:tr>
          </w:tbl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Default="0038546D" w:rsidP="00C45B98">
      <w:pPr>
        <w:rPr>
          <w:b/>
          <w:bCs/>
          <w:sz w:val="22"/>
          <w:szCs w:val="22"/>
        </w:rPr>
      </w:pPr>
    </w:p>
    <w:p w:rsidR="00A01799" w:rsidRPr="0027243F" w:rsidRDefault="00A01799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D67310" w:rsidRPr="0027243F" w:rsidRDefault="00D67310" w:rsidP="00D67310">
            <w:pPr>
              <w:rPr>
                <w:i/>
                <w:iCs/>
                <w:sz w:val="22"/>
                <w:szCs w:val="22"/>
                <w:highlight w:val="lightGray"/>
              </w:rPr>
            </w:pPr>
            <w:r w:rsidRPr="0027243F">
              <w:rPr>
                <w:sz w:val="22"/>
                <w:szCs w:val="22"/>
                <w:highlight w:val="lightGray"/>
              </w:rPr>
              <w:t>______________________________________________________________________________</w:t>
            </w:r>
          </w:p>
          <w:p w:rsidR="00D67310" w:rsidRPr="0027243F" w:rsidRDefault="00D67310" w:rsidP="00D67310">
            <w:pPr>
              <w:rPr>
                <w:i/>
                <w:iCs/>
                <w:sz w:val="22"/>
                <w:szCs w:val="22"/>
                <w:highlight w:val="lightGray"/>
              </w:rPr>
            </w:pPr>
            <w:r w:rsidRPr="0027243F">
              <w:rPr>
                <w:sz w:val="22"/>
                <w:szCs w:val="22"/>
                <w:highlight w:val="lightGray"/>
              </w:rPr>
              <w:t>______________________________________________________________________________</w:t>
            </w:r>
          </w:p>
          <w:p w:rsidR="00D67310" w:rsidRPr="0027243F" w:rsidRDefault="00D67310" w:rsidP="00D67310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  <w:highlight w:val="lightGray"/>
              </w:rPr>
              <w:t>______________________________________________________________________________</w:t>
            </w:r>
          </w:p>
          <w:p w:rsidR="00C45B98" w:rsidRPr="0027243F" w:rsidRDefault="00C45B98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761885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="00C7496D" w:rsidRPr="00761885">
              <w:rPr>
                <w:b/>
                <w:iCs/>
                <w:color w:val="0000C8"/>
                <w:sz w:val="22"/>
                <w:szCs w:val="22"/>
              </w:rPr>
              <w:t xml:space="preserve">Fillon </w:t>
            </w:r>
            <w:r w:rsidR="00A01799">
              <w:rPr>
                <w:b/>
                <w:iCs/>
                <w:color w:val="0000C8"/>
                <w:sz w:val="22"/>
                <w:szCs w:val="22"/>
              </w:rPr>
              <w:t>me nënshkrim të kontratës dhe përfundon</w:t>
            </w:r>
            <w:r w:rsidR="00BC7D29">
              <w:rPr>
                <w:b/>
                <w:iCs/>
                <w:color w:val="0000C8"/>
                <w:sz w:val="22"/>
                <w:szCs w:val="22"/>
              </w:rPr>
              <w:t xml:space="preserve"> pas </w:t>
            </w:r>
            <w:r w:rsidR="00F72BFF">
              <w:rPr>
                <w:b/>
                <w:iCs/>
                <w:color w:val="0000C8"/>
                <w:sz w:val="22"/>
                <w:szCs w:val="22"/>
              </w:rPr>
              <w:t>36</w:t>
            </w:r>
            <w:r w:rsidR="00BC7D29">
              <w:rPr>
                <w:b/>
                <w:iCs/>
                <w:color w:val="0000C8"/>
                <w:sz w:val="22"/>
                <w:szCs w:val="22"/>
              </w:rPr>
              <w:t xml:space="preserve"> muaj</w:t>
            </w:r>
            <w:r w:rsidR="00861F6B">
              <w:rPr>
                <w:b/>
                <w:iCs/>
                <w:color w:val="0000C8"/>
                <w:sz w:val="22"/>
                <w:szCs w:val="22"/>
              </w:rPr>
              <w:t>ve</w:t>
            </w:r>
            <w:r w:rsidR="00BC7D2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  <w:p w:rsidR="000634A1" w:rsidRPr="00C7496D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C7496D">
              <w:rPr>
                <w:b/>
                <w:iCs/>
                <w:color w:val="0000C8"/>
                <w:sz w:val="22"/>
                <w:szCs w:val="22"/>
              </w:rPr>
              <w:t xml:space="preserve">   </w:t>
            </w:r>
            <w:r w:rsidRPr="00C7496D">
              <w:rPr>
                <w:iCs/>
                <w:sz w:val="22"/>
                <w:szCs w:val="22"/>
              </w:rPr>
              <w:t xml:space="preserve"> apo</w:t>
            </w:r>
          </w:p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Fillimi      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(dd/mm/vvv)</w:t>
            </w:r>
          </w:p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Përfundimi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</w:t>
            </w:r>
            <w:r w:rsidRPr="0027243F">
              <w:rPr>
                <w:i/>
                <w:iCs/>
                <w:sz w:val="22"/>
                <w:szCs w:val="22"/>
              </w:rPr>
              <w:t>)</w:t>
            </w:r>
          </w:p>
          <w:p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C749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847D03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47D03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847D03" w:rsidRDefault="00847D03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47D03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4"/>
                  <w:r w:rsidRPr="00847D03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b/>
                      <w:bCs/>
                      <w:sz w:val="22"/>
                      <w:szCs w:val="22"/>
                    </w:rPr>
                  </w:r>
                  <w:r w:rsidR="002F19BC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847D03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0A2C07" w:rsidRPr="00E635C2" w:rsidRDefault="000634A1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E635C2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0A2C07" w:rsidRPr="00E635C2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E635C2" w:rsidRDefault="00E635C2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E635C2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0" w:name="Check25"/>
                  <w:r w:rsidRPr="00E635C2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2F19B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E635C2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C7496D" w:rsidRPr="00761885">
              <w:rPr>
                <w:b/>
                <w:iCs/>
                <w:color w:val="0000C8"/>
                <w:sz w:val="22"/>
                <w:szCs w:val="22"/>
              </w:rPr>
              <w:t>10% e vlerës së kontratës me kohëzgjatje nga fillimi i kontratës deri 30 ditë pas përfundimit të kontratës.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2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05"/>
              <w:gridCol w:w="4803"/>
            </w:tblGrid>
            <w:tr w:rsidR="004A09A4" w:rsidRPr="00690693" w:rsidTr="00E936E1">
              <w:trPr>
                <w:trHeight w:val="227"/>
              </w:trPr>
              <w:tc>
                <w:tcPr>
                  <w:tcW w:w="460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80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E936E1">
              <w:trPr>
                <w:trHeight w:val="398"/>
              </w:trPr>
              <w:tc>
                <w:tcPr>
                  <w:tcW w:w="460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</w:t>
                  </w:r>
                  <w:r w:rsidRPr="00761885">
                    <w:rPr>
                      <w:b/>
                      <w:iCs/>
                      <w:color w:val="0000C8"/>
                      <w:sz w:val="22"/>
                      <w:szCs w:val="22"/>
                    </w:rPr>
                    <w:t>ërinë në pajtim me  Ligjin Nr. 04 L-042, Neni 65.</w:t>
                  </w:r>
                  <w:bookmarkEnd w:id="33"/>
                </w:p>
              </w:tc>
              <w:tc>
                <w:tcPr>
                  <w:tcW w:w="48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4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4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00"/>
              <w:gridCol w:w="4817"/>
            </w:tblGrid>
            <w:tr w:rsidR="004A09A4" w:rsidRPr="00690693" w:rsidTr="00E936E1">
              <w:trPr>
                <w:trHeight w:val="292"/>
              </w:trPr>
              <w:tc>
                <w:tcPr>
                  <w:tcW w:w="4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8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E936E1">
              <w:trPr>
                <w:trHeight w:val="1418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5"/>
                </w:p>
              </w:tc>
              <w:tc>
                <w:tcPr>
                  <w:tcW w:w="4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6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6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E936E1">
              <w:trPr>
                <w:trHeight w:val="682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:rsidTr="00E936E1">
              <w:trPr>
                <w:trHeight w:val="834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546C" w:rsidRPr="00A01799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lastRenderedPageBreak/>
                    <w:t>3.OE duhet të dëshmojë së është pagues i rregullt i energjisë elektrike, për kompanitë vendore.</w:t>
                  </w:r>
                  <w:r w:rsidR="00F8546C" w:rsidRPr="00E84EB3">
                    <w:rPr>
                      <w:b/>
                      <w:color w:val="0000C8"/>
                      <w:sz w:val="22"/>
                    </w:rPr>
                    <w:t xml:space="preserve"> </w:t>
                  </w:r>
                </w:p>
              </w:tc>
              <w:tc>
                <w:tcPr>
                  <w:tcW w:w="4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E936E1">
        <w:trPr>
          <w:trHeight w:val="1169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460" w:type="dxa"/>
              <w:tblLook w:val="04A0" w:firstRow="1" w:lastRow="0" w:firstColumn="1" w:lastColumn="0" w:noHBand="0" w:noVBand="1"/>
            </w:tblPr>
            <w:tblGrid>
              <w:gridCol w:w="4600"/>
              <w:gridCol w:w="4860"/>
            </w:tblGrid>
            <w:tr w:rsidR="004A09A4" w:rsidRPr="00690693" w:rsidTr="00E936E1">
              <w:trPr>
                <w:trHeight w:val="600"/>
              </w:trPr>
              <w:tc>
                <w:tcPr>
                  <w:tcW w:w="4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E936E1">
              <w:trPr>
                <w:trHeight w:val="377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5DB1" w:rsidRPr="002D32D1" w:rsidRDefault="00E35DB1" w:rsidP="00E35DB1">
                  <w:pPr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  <w:t xml:space="preserve">1. </w:t>
                  </w:r>
                  <w:r w:rsidRPr="002D32D1"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  <w:t xml:space="preserve">Operatori ekonomik duhet të ofrojë dëshmi të kënaqshme Autoritetit kontraktues së qarkullimi vjetor i OE gjatë periudhës (nga Njoftimi për Kontratë për periudhën e shkuar trevjeçare) arrin vlerën jo më pak se për: </w:t>
                  </w:r>
                </w:p>
                <w:p w:rsidR="00E35DB1" w:rsidRPr="002D32D1" w:rsidRDefault="00E35DB1" w:rsidP="00E35DB1">
                  <w:pPr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2D32D1"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  <w:t xml:space="preserve">LOT 1: </w:t>
                  </w:r>
                  <w:r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  <w:t>40</w:t>
                  </w:r>
                  <w:r w:rsidRPr="002D32D1"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  <w:t>,000.00 €</w:t>
                  </w:r>
                </w:p>
                <w:p w:rsidR="00E35DB1" w:rsidRPr="002D32D1" w:rsidRDefault="00E35DB1" w:rsidP="00E35DB1">
                  <w:pPr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</w:pPr>
                  <w:r w:rsidRPr="002D32D1"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  <w:t xml:space="preserve">LOT 2: </w:t>
                  </w:r>
                  <w:r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  <w:t>180,0</w:t>
                  </w:r>
                  <w:r w:rsidRPr="002D32D1"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  <w:t>00.00 €</w:t>
                  </w:r>
                </w:p>
                <w:p w:rsidR="004A09A4" w:rsidRPr="00690693" w:rsidRDefault="00E35DB1" w:rsidP="00E35DB1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D32D1"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  <w:t>Në rast së Operatori Ekonomik ose Grupi i Operatorëve Ekonomik dorëzon tender për 2 apo më shumë pjesë (Lot), atëherë duhet të përmbushet qarkullimi i kërkuar për lotin me vlerë më të lart. Dhe në rast se Operatori Ekonomik ose Grupi i Operatorëve Ekonomik dorëzon tender për një pjesë (Lot), atëherë duhet që lideri i Operatorit Ekonomik të përmbush 60% të qarkullimit të kërkuar për atë Lot (për rastin e dorëzimit të shumë pjesëve lideri duhet të përmbush 60% të kërkesës së pjesës me vlerë më të lartë)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E35DB1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513CB8"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  <w:t>1.</w:t>
                  </w:r>
                  <w:r w:rsidRPr="00513CB8">
                    <w:rPr>
                      <w:rFonts w:eastAsia="Calibri"/>
                      <w:b/>
                      <w:iCs/>
                      <w:color w:val="0000C8"/>
                      <w:sz w:val="22"/>
                      <w:szCs w:val="22"/>
                      <w:lang w:eastAsia="en-US"/>
                    </w:rPr>
                    <w:tab/>
                    <w:t>Deklaratat tatimore vjetore të dorëzuara në ATK (për kompanitë e huaja në agjensionin përkatës të vendit të tyre) për tri vitet e fundit nga njoftimi për kontratë ose deklarata nga një ose më shumë banka; ose Kopjet e   raporteve financiare dhe raporteve të menaxhimit të certifikuara nga një firmë e njohur e licencuar për  kontrollim  apo  një auditor i licencuar i pavarur;  ku janë të specifikuar vlerat financiare për secilin vit të kërkuar.</w:t>
                  </w:r>
                </w:p>
              </w:tc>
            </w:tr>
          </w:tbl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460" w:type="dxa"/>
              <w:tblLook w:val="04A0" w:firstRow="1" w:lastRow="0" w:firstColumn="1" w:lastColumn="0" w:noHBand="0" w:noVBand="1"/>
            </w:tblPr>
            <w:tblGrid>
              <w:gridCol w:w="4600"/>
              <w:gridCol w:w="4860"/>
            </w:tblGrid>
            <w:tr w:rsidR="00A431EF" w:rsidRPr="00690693" w:rsidTr="00E936E1">
              <w:trPr>
                <w:trHeight w:val="520"/>
              </w:trPr>
              <w:tc>
                <w:tcPr>
                  <w:tcW w:w="4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E936E1">
              <w:trPr>
                <w:trHeight w:val="247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553F" w:rsidRPr="00242A96" w:rsidRDefault="003A553F" w:rsidP="003A553F">
                  <w:pPr>
                    <w:pStyle w:val="ListParagraph"/>
                    <w:numPr>
                      <w:ilvl w:val="1"/>
                      <w:numId w:val="8"/>
                    </w:numPr>
                    <w:jc w:val="left"/>
                    <w:rPr>
                      <w:rFonts w:ascii="Times New Roman" w:hAnsi="Times New Roman"/>
                      <w:b/>
                      <w:iCs/>
                      <w:color w:val="0000C8"/>
                    </w:rPr>
                  </w:pPr>
                  <w:r w:rsidRPr="00242A96">
                    <w:rPr>
                      <w:rFonts w:ascii="Times New Roman" w:hAnsi="Times New Roman"/>
                      <w:b/>
                      <w:iCs/>
                      <w:color w:val="0000C8"/>
                    </w:rPr>
                    <w:t>Më shumë se 5 lifta (për ngritjen e automjeteve)</w:t>
                  </w:r>
                </w:p>
                <w:p w:rsidR="003A553F" w:rsidRPr="00242A96" w:rsidRDefault="003A553F" w:rsidP="003A553F">
                  <w:pPr>
                    <w:pStyle w:val="ListParagraph"/>
                    <w:numPr>
                      <w:ilvl w:val="1"/>
                      <w:numId w:val="8"/>
                    </w:numPr>
                    <w:jc w:val="left"/>
                    <w:rPr>
                      <w:rFonts w:ascii="Times New Roman" w:hAnsi="Times New Roman"/>
                      <w:b/>
                      <w:iCs/>
                      <w:color w:val="0000C8"/>
                    </w:rPr>
                  </w:pPr>
                  <w:r w:rsidRPr="00242A96">
                    <w:rPr>
                      <w:rFonts w:ascii="Times New Roman" w:hAnsi="Times New Roman"/>
                      <w:b/>
                      <w:iCs/>
                      <w:color w:val="0000C8"/>
                    </w:rPr>
                    <w:t>Nr. i puntorëve (dëshmia e trustit) jo më pak se 10 puntorë (Mekaniku dhe ndihmësi)</w:t>
                  </w:r>
                </w:p>
                <w:p w:rsidR="003A553F" w:rsidRPr="00242A96" w:rsidRDefault="003A553F" w:rsidP="003A553F">
                  <w:pPr>
                    <w:pStyle w:val="ListParagraph"/>
                    <w:numPr>
                      <w:ilvl w:val="1"/>
                      <w:numId w:val="8"/>
                    </w:numPr>
                    <w:jc w:val="left"/>
                    <w:rPr>
                      <w:rFonts w:ascii="Times New Roman" w:hAnsi="Times New Roman"/>
                      <w:b/>
                      <w:iCs/>
                      <w:color w:val="0000C8"/>
                    </w:rPr>
                  </w:pPr>
                  <w:r w:rsidRPr="00242A96">
                    <w:rPr>
                      <w:rFonts w:ascii="Times New Roman" w:hAnsi="Times New Roman"/>
                      <w:b/>
                      <w:iCs/>
                      <w:color w:val="0000C8"/>
                    </w:rPr>
                    <w:t>Kamioni tërheqës (Dëshmo librezën)</w:t>
                  </w:r>
                </w:p>
                <w:p w:rsidR="003A553F" w:rsidRDefault="003A553F" w:rsidP="003A553F">
                  <w:pPr>
                    <w:pStyle w:val="ListParagraph"/>
                    <w:numPr>
                      <w:ilvl w:val="1"/>
                      <w:numId w:val="8"/>
                    </w:numPr>
                    <w:jc w:val="left"/>
                    <w:rPr>
                      <w:rFonts w:ascii="Times New Roman" w:hAnsi="Times New Roman"/>
                      <w:b/>
                      <w:iCs/>
                      <w:color w:val="0000C8"/>
                    </w:rPr>
                  </w:pPr>
                  <w:r w:rsidRPr="00242A96">
                    <w:rPr>
                      <w:rFonts w:ascii="Times New Roman" w:hAnsi="Times New Roman"/>
                      <w:b/>
                      <w:iCs/>
                      <w:color w:val="0000C8"/>
                    </w:rPr>
                    <w:t>Fotot e servisit (ambientit të punës)</w:t>
                  </w:r>
                </w:p>
                <w:p w:rsidR="003A553F" w:rsidRDefault="003A553F" w:rsidP="003A553F">
                  <w:pPr>
                    <w:pStyle w:val="ListParagraph"/>
                    <w:numPr>
                      <w:ilvl w:val="1"/>
                      <w:numId w:val="8"/>
                    </w:numPr>
                    <w:jc w:val="left"/>
                    <w:rPr>
                      <w:rFonts w:ascii="Times New Roman" w:hAnsi="Times New Roman"/>
                      <w:b/>
                      <w:iCs/>
                      <w:color w:val="0000C8"/>
                    </w:rPr>
                  </w:pPr>
                  <w:r w:rsidRPr="00242A96">
                    <w:rPr>
                      <w:rFonts w:ascii="Times New Roman" w:hAnsi="Times New Roman"/>
                      <w:b/>
                      <w:iCs/>
                      <w:color w:val="0000C8"/>
                    </w:rPr>
                    <w:t>Dëshmi për furnizimin me pjesë rezervë (për automjetet Ford dhe Peugeot)</w:t>
                  </w:r>
                </w:p>
                <w:p w:rsidR="003A553F" w:rsidRDefault="003A553F" w:rsidP="003A553F">
                  <w:pPr>
                    <w:pStyle w:val="ListParagraph"/>
                    <w:numPr>
                      <w:ilvl w:val="1"/>
                      <w:numId w:val="8"/>
                    </w:numPr>
                    <w:jc w:val="left"/>
                    <w:rPr>
                      <w:rFonts w:ascii="Times New Roman" w:hAnsi="Times New Roman"/>
                      <w:b/>
                      <w:iCs/>
                      <w:color w:val="0000C8"/>
                    </w:rPr>
                  </w:pPr>
                  <w:r w:rsidRPr="00242A96">
                    <w:rPr>
                      <w:rFonts w:ascii="Times New Roman" w:hAnsi="Times New Roman"/>
                      <w:b/>
                      <w:iCs/>
                      <w:color w:val="0000C8"/>
                    </w:rPr>
                    <w:t>Kompjuteri për diagnozën e problemeve në automjetet Ford Ranger dhe Peugeot</w:t>
                  </w:r>
                </w:p>
                <w:p w:rsidR="003A553F" w:rsidRPr="00840B46" w:rsidRDefault="003A553F" w:rsidP="003A553F">
                  <w:pPr>
                    <w:pStyle w:val="ListParagraph"/>
                    <w:numPr>
                      <w:ilvl w:val="1"/>
                      <w:numId w:val="8"/>
                    </w:numPr>
                    <w:jc w:val="left"/>
                    <w:rPr>
                      <w:rFonts w:ascii="Times New Roman" w:hAnsi="Times New Roman"/>
                      <w:b/>
                      <w:iCs/>
                      <w:color w:val="0000C8"/>
                    </w:rPr>
                  </w:pPr>
                  <w:r w:rsidRPr="00840B46">
                    <w:rPr>
                      <w:rFonts w:ascii="Times New Roman" w:hAnsi="Times New Roman"/>
                      <w:b/>
                      <w:iCs/>
                      <w:color w:val="0000C8"/>
                    </w:rPr>
                    <w:t xml:space="preserve">Operatori ekonomik duhet të ofrojë dëshmi se ka përfunduar me sukses projekte të kësaj natyre si kërkesa e furnizimeve për periudhën shkuar trevjeçare nga data e Njoftimit për Kontratë në vlerë të gjitha së bashku jo më pak se: </w:t>
                  </w:r>
                </w:p>
                <w:p w:rsidR="003A553F" w:rsidRPr="00840B46" w:rsidRDefault="003A553F" w:rsidP="003A553F">
                  <w:pPr>
                    <w:pStyle w:val="ListParagraph"/>
                    <w:ind w:left="360"/>
                    <w:jc w:val="left"/>
                    <w:rPr>
                      <w:rFonts w:ascii="Times New Roman" w:hAnsi="Times New Roman"/>
                      <w:b/>
                      <w:iCs/>
                      <w:color w:val="0000C8"/>
                    </w:rPr>
                  </w:pPr>
                  <w:r w:rsidRPr="00840B46">
                    <w:rPr>
                      <w:rFonts w:ascii="Times New Roman" w:hAnsi="Times New Roman"/>
                      <w:b/>
                      <w:iCs/>
                      <w:color w:val="0000C8"/>
                    </w:rPr>
                    <w:t xml:space="preserve">LOT 1: </w:t>
                  </w:r>
                  <w:r>
                    <w:rPr>
                      <w:rFonts w:ascii="Times New Roman" w:hAnsi="Times New Roman"/>
                      <w:b/>
                      <w:iCs/>
                      <w:color w:val="0000C8"/>
                    </w:rPr>
                    <w:t>30</w:t>
                  </w:r>
                  <w:r w:rsidRPr="00840B46">
                    <w:rPr>
                      <w:rFonts w:ascii="Times New Roman" w:hAnsi="Times New Roman"/>
                      <w:b/>
                      <w:iCs/>
                      <w:color w:val="0000C8"/>
                    </w:rPr>
                    <w:t>,000.00 €</w:t>
                  </w:r>
                </w:p>
                <w:p w:rsidR="003A553F" w:rsidRDefault="003A553F" w:rsidP="003A553F">
                  <w:pPr>
                    <w:pStyle w:val="ListParagraph"/>
                    <w:ind w:left="360"/>
                    <w:jc w:val="left"/>
                    <w:rPr>
                      <w:rFonts w:ascii="Times New Roman" w:hAnsi="Times New Roman"/>
                      <w:b/>
                      <w:iCs/>
                      <w:color w:val="0000C8"/>
                    </w:rPr>
                  </w:pPr>
                  <w:r w:rsidRPr="00840B46">
                    <w:rPr>
                      <w:rFonts w:ascii="Times New Roman" w:hAnsi="Times New Roman"/>
                      <w:b/>
                      <w:iCs/>
                      <w:color w:val="0000C8"/>
                    </w:rPr>
                    <w:t xml:space="preserve">LOT 2: </w:t>
                  </w:r>
                  <w:r>
                    <w:rPr>
                      <w:rFonts w:ascii="Times New Roman" w:hAnsi="Times New Roman"/>
                      <w:b/>
                      <w:iCs/>
                      <w:color w:val="0000C8"/>
                    </w:rPr>
                    <w:t>135,0</w:t>
                  </w:r>
                  <w:r w:rsidRPr="00840B46">
                    <w:rPr>
                      <w:rFonts w:ascii="Times New Roman" w:hAnsi="Times New Roman"/>
                      <w:b/>
                      <w:iCs/>
                      <w:color w:val="0000C8"/>
                    </w:rPr>
                    <w:t>00.00 €</w:t>
                  </w:r>
                </w:p>
                <w:p w:rsidR="00A431EF" w:rsidRPr="00690693" w:rsidRDefault="003A553F" w:rsidP="003A553F">
                  <w:pPr>
                    <w:ind w:left="360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D8661B">
                    <w:rPr>
                      <w:rFonts w:eastAsia="Calibri"/>
                      <w:b/>
                      <w:iCs/>
                      <w:color w:val="0000C8"/>
                      <w:kern w:val="0"/>
                      <w:sz w:val="22"/>
                      <w:szCs w:val="22"/>
                      <w:lang w:eastAsia="en-US"/>
                    </w:rPr>
                    <w:t>Në rast se Operatori Ekonomik ose Grupi i</w:t>
                  </w:r>
                  <w:r w:rsidRPr="00840B46">
                    <w:rPr>
                      <w:b/>
                      <w:iCs/>
                      <w:color w:val="0000C8"/>
                    </w:rPr>
                    <w:t xml:space="preserve"> </w:t>
                  </w:r>
                  <w:r w:rsidRPr="00D8661B">
                    <w:rPr>
                      <w:rFonts w:eastAsia="Calibri"/>
                      <w:b/>
                      <w:iCs/>
                      <w:color w:val="0000C8"/>
                      <w:kern w:val="0"/>
                      <w:sz w:val="22"/>
                      <w:szCs w:val="22"/>
                      <w:lang w:eastAsia="en-US"/>
                    </w:rPr>
                    <w:t xml:space="preserve">Operatorëve Ekonomik dorëzon tender për 2 apo më shumë pjesë (Lot), atëherë </w:t>
                  </w:r>
                  <w:r w:rsidRPr="00D8661B">
                    <w:rPr>
                      <w:rFonts w:eastAsia="Calibri"/>
                      <w:b/>
                      <w:iCs/>
                      <w:color w:val="0000C8"/>
                      <w:kern w:val="0"/>
                      <w:sz w:val="22"/>
                      <w:szCs w:val="22"/>
                      <w:lang w:eastAsia="en-US"/>
                    </w:rPr>
                    <w:lastRenderedPageBreak/>
                    <w:t>duhet të përmbushte kërkesa e referencave e Lotit (pjesës) më të madhe. Dhe në rast se Operatori Ekonomik ose Grupi i Operatorëve Ekonomik  dorëzon tender për një apo më shumë Lote (pjesë) atëherë duhet që lideri i grupit të Operatorit/ëve Ekonomik të përmbush min. 60 % të vlerës së referencave së kërkuara për atë Loti që dorëzon. (për rastin e dorëzimit të shumë pjesëve lideri duhet të përmbush 60% të kërkesës së pjesës me vlerë më të lartë)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1B" w:rsidRPr="00D8661B" w:rsidRDefault="00D8661B" w:rsidP="00D8661B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lastRenderedPageBreak/>
                    <w:t xml:space="preserve">1. </w:t>
                  </w: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Më shumë se 5 lifta (për ngritjen e automjeteve)</w:t>
                  </w:r>
                </w:p>
                <w:p w:rsidR="00D8661B" w:rsidRPr="00D8661B" w:rsidRDefault="00D8661B" w:rsidP="00D8661B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2. </w:t>
                  </w: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Nr. i puntorëve (dëshmia e trustit) jo më pak se 10 puntorë (Mekaniku dhe ndihmësi)</w:t>
                  </w:r>
                </w:p>
                <w:p w:rsidR="00D8661B" w:rsidRPr="00D8661B" w:rsidRDefault="00D8661B" w:rsidP="00D8661B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3.</w:t>
                  </w: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Kamioni tërheqës (Dëshmo librezën)</w:t>
                  </w:r>
                </w:p>
                <w:p w:rsidR="00D8661B" w:rsidRPr="00D8661B" w:rsidRDefault="00D8661B" w:rsidP="00D8661B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4.</w:t>
                  </w: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Fotot e servisit (ambientit të punës)</w:t>
                  </w:r>
                </w:p>
                <w:p w:rsidR="00D8661B" w:rsidRPr="00D8661B" w:rsidRDefault="00D8661B" w:rsidP="00D8661B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5.</w:t>
                  </w: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Dëshmi për furnizimin me pjesë rezervë (për automjetet Ford dhe Peugeot)</w:t>
                  </w:r>
                </w:p>
                <w:p w:rsidR="00D8661B" w:rsidRPr="00D8661B" w:rsidRDefault="00D8661B" w:rsidP="00D8661B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6.</w:t>
                  </w: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Kompjuteri për diagnozën e problemeve në automjetet Ford Ranger dhe Peugeot</w:t>
                  </w:r>
                </w:p>
                <w:p w:rsidR="00D8661B" w:rsidRPr="00D8661B" w:rsidRDefault="00D8661B" w:rsidP="00D8661B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C8"/>
                      <w:sz w:val="22"/>
                      <w:szCs w:val="22"/>
                    </w:rPr>
                    <w:t>7.</w:t>
                  </w: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Operatori/ët Ekonomik duhet të dorëzojnë një listë të projekteve për furnizimet e përfunduara të nënshkruar dhe vulosur nga OE për periudhën nga Njoftimi për Kontratë për tri vjetët e shkuara duke specifikuar vlerën, datën dhe natyrën e projekteve për furnizim.</w:t>
                  </w:r>
                </w:p>
                <w:p w:rsidR="00A431EF" w:rsidRPr="00690693" w:rsidRDefault="00D8661B" w:rsidP="00D8661B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D8661B">
                    <w:rPr>
                      <w:b/>
                      <w:iCs/>
                      <w:color w:val="0000C8"/>
                      <w:sz w:val="22"/>
                      <w:szCs w:val="22"/>
                    </w:rPr>
                    <w:t>Listës duhet të bashkëngjiten referencat apo procesverbalet e pranimit të furnizimit, kontrata apo fatura.</w:t>
                  </w:r>
                </w:p>
              </w:tc>
            </w:tr>
          </w:tbl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27243F" w:rsidRDefault="00C7496D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27243F" w:rsidRDefault="00C7496D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007A70">
            <w:pPr>
              <w:rPr>
                <w:b/>
                <w:sz w:val="22"/>
                <w:szCs w:val="22"/>
              </w:rPr>
            </w:pPr>
            <w:r w:rsidRPr="00C7496D">
              <w:rPr>
                <w:b/>
                <w:color w:val="0000C8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1" w:name="Check32"/>
            <w:r w:rsidRPr="00C7496D">
              <w:rPr>
                <w:b/>
                <w:color w:val="0000C8"/>
                <w:sz w:val="22"/>
              </w:rPr>
              <w:instrText xml:space="preserve"> FORMCHECKBOX </w:instrText>
            </w:r>
            <w:r w:rsidR="002F19BC">
              <w:rPr>
                <w:b/>
                <w:color w:val="0000C8"/>
                <w:sz w:val="22"/>
              </w:rPr>
            </w:r>
            <w:r w:rsidR="002F19BC">
              <w:rPr>
                <w:b/>
                <w:color w:val="0000C8"/>
                <w:sz w:val="22"/>
              </w:rPr>
              <w:fldChar w:fldCharType="separate"/>
            </w:r>
            <w:r w:rsidRPr="00C7496D">
              <w:rPr>
                <w:b/>
                <w:color w:val="0000C8"/>
                <w:sz w:val="22"/>
              </w:rPr>
              <w:fldChar w:fldCharType="end"/>
            </w:r>
            <w:bookmarkEnd w:id="41"/>
            <w:r w:rsidR="00A40776" w:rsidRPr="00C7496D">
              <w:rPr>
                <w:b/>
                <w:color w:val="0000C8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2F19BC">
              <w:rPr>
                <w:b/>
                <w:sz w:val="22"/>
                <w:szCs w:val="22"/>
              </w:rPr>
            </w:r>
            <w:r w:rsidR="002F19BC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2F19BC">
              <w:rPr>
                <w:b/>
                <w:sz w:val="22"/>
                <w:szCs w:val="22"/>
              </w:rPr>
            </w:r>
            <w:r w:rsidR="002F19BC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F19BC">
              <w:rPr>
                <w:b/>
                <w:sz w:val="22"/>
                <w:szCs w:val="22"/>
              </w:rPr>
            </w:r>
            <w:r w:rsidR="002F19BC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7496D">
              <w:rPr>
                <w:b/>
                <w:sz w:val="22"/>
                <w:szCs w:val="22"/>
              </w:rPr>
              <w:t>Kuotim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4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5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6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F19BC">
              <w:rPr>
                <w:b/>
                <w:iCs/>
                <w:color w:val="0000C8"/>
                <w:sz w:val="22"/>
                <w:szCs w:val="22"/>
              </w:rPr>
            </w:r>
            <w:r w:rsidR="002F19BC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6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2F19BC">
              <w:rPr>
                <w:b/>
                <w:sz w:val="22"/>
                <w:szCs w:val="22"/>
              </w:rPr>
            </w:r>
            <w:r w:rsidR="002F19BC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7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8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C27D6F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9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Default="00166A92" w:rsidP="007373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D8661B">
              <w:rPr>
                <w:b/>
                <w:iCs/>
                <w:color w:val="0000C8"/>
                <w:sz w:val="22"/>
                <w:szCs w:val="22"/>
              </w:rPr>
              <w:t>08.09.2023</w:t>
            </w:r>
            <w:r w:rsidR="006D5B66" w:rsidRPr="0027243F">
              <w:rPr>
                <w:sz w:val="22"/>
                <w:szCs w:val="22"/>
              </w:rPr>
              <w:t xml:space="preserve">  </w:t>
            </w:r>
          </w:p>
          <w:p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1C4C6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236F63">
              <w:rPr>
                <w:b/>
                <w:bCs/>
                <w:i/>
                <w:sz w:val="22"/>
                <w:szCs w:val="22"/>
              </w:rPr>
              <w:t>data</w:t>
            </w:r>
            <w:r w:rsidRPr="00236F63">
              <w:rPr>
                <w:i/>
                <w:sz w:val="22"/>
                <w:szCs w:val="22"/>
              </w:rPr>
              <w:t xml:space="preserve"> </w:t>
            </w:r>
            <w:r w:rsidR="00D8661B">
              <w:rPr>
                <w:b/>
                <w:iCs/>
                <w:color w:val="0000C8"/>
                <w:sz w:val="22"/>
                <w:szCs w:val="22"/>
              </w:rPr>
              <w:t>11.09.2023</w:t>
            </w:r>
            <w:r w:rsidRPr="00236F63">
              <w:rPr>
                <w:i/>
                <w:sz w:val="22"/>
                <w:szCs w:val="22"/>
              </w:rPr>
              <w:t xml:space="preserve">__   </w:t>
            </w:r>
            <w:r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Pr="00236F63">
              <w:rPr>
                <w:i/>
                <w:iCs/>
                <w:sz w:val="22"/>
                <w:szCs w:val="22"/>
              </w:rPr>
              <w:t>__</w:t>
            </w:r>
            <w:r w:rsidRPr="00236F63">
              <w:rPr>
                <w:i/>
                <w:sz w:val="22"/>
                <w:szCs w:val="22"/>
              </w:rPr>
              <w:t xml:space="preserve">   </w:t>
            </w:r>
            <w:r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Arhiva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2F19BC">
              <w:rPr>
                <w:sz w:val="22"/>
                <w:szCs w:val="22"/>
              </w:rPr>
            </w:r>
            <w:r w:rsidR="002F19BC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sz w:val="22"/>
                      <w:szCs w:val="22"/>
                    </w:rPr>
                  </w:r>
                  <w:r w:rsidR="002F19BC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F19BC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2F19BC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C7496D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Default="006D6109" w:rsidP="006D6109">
      <w:pPr>
        <w:rPr>
          <w:b/>
          <w:bCs/>
          <w:sz w:val="22"/>
          <w:szCs w:val="22"/>
        </w:rPr>
      </w:pPr>
    </w:p>
    <w:p w:rsidR="00D8661B" w:rsidRPr="0027243F" w:rsidRDefault="00D8661B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89C" w:rsidRDefault="0003289C">
      <w:r>
        <w:separator/>
      </w:r>
    </w:p>
  </w:endnote>
  <w:endnote w:type="continuationSeparator" w:id="0">
    <w:p w:rsidR="0003289C" w:rsidRDefault="0003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89C" w:rsidRDefault="0003289C">
      <w:r>
        <w:separator/>
      </w:r>
    </w:p>
  </w:footnote>
  <w:footnote w:type="continuationSeparator" w:id="0">
    <w:p w:rsidR="0003289C" w:rsidRDefault="0003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2F19BC" w:rsidRPr="00A6439B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2F19BC" w:rsidRPr="00A6439B" w:rsidRDefault="002F19BC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2F19BC" w:rsidRPr="00A6439B" w:rsidRDefault="002F19B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2F19BC" w:rsidRPr="00A6439B" w:rsidRDefault="002F19BC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2F19BC" w:rsidRPr="009B1B64" w:rsidRDefault="002F19BC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2F19BC" w:rsidRPr="00A6439B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2F19BC" w:rsidRPr="00A6439B" w:rsidRDefault="002F19BC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2F19BC" w:rsidRPr="00A6439B" w:rsidRDefault="002F19BC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2F19BC" w:rsidRPr="00A6439B" w:rsidRDefault="002F19BC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2F19BC" w:rsidRPr="00A42DC6" w:rsidRDefault="002F19BC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2F19BC" w:rsidRPr="00A6439B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2F19BC" w:rsidRPr="00A6439B" w:rsidRDefault="002F19BC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2F19BC" w:rsidRPr="009257A4" w:rsidRDefault="002F19B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2F19BC" w:rsidRPr="00A6439B" w:rsidRDefault="002F19BC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2F19BC" w:rsidRPr="00A6439B" w:rsidRDefault="002F19B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2F19BC" w:rsidRDefault="002F19BC">
    <w:pPr>
      <w:tabs>
        <w:tab w:val="center" w:pos="4320"/>
        <w:tab w:val="right" w:pos="8640"/>
      </w:tabs>
      <w:rPr>
        <w:kern w:val="0"/>
      </w:rPr>
    </w:pPr>
  </w:p>
  <w:p w:rsidR="002F19BC" w:rsidRDefault="002F19B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6384E"/>
    <w:multiLevelType w:val="hybridMultilevel"/>
    <w:tmpl w:val="6D62BC3A"/>
    <w:lvl w:ilvl="0" w:tplc="BB5C48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B7462"/>
    <w:multiLevelType w:val="hybridMultilevel"/>
    <w:tmpl w:val="13805878"/>
    <w:lvl w:ilvl="0" w:tplc="37589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CDE8710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547EBD4E">
      <w:start w:val="1"/>
      <w:numFmt w:val="lowerLetter"/>
      <w:lvlText w:val="%3)"/>
      <w:lvlJc w:val="left"/>
      <w:pPr>
        <w:ind w:left="52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13341"/>
    <w:rsid w:val="0002651F"/>
    <w:rsid w:val="0003289C"/>
    <w:rsid w:val="00032A03"/>
    <w:rsid w:val="00037AE6"/>
    <w:rsid w:val="00040E6C"/>
    <w:rsid w:val="00050391"/>
    <w:rsid w:val="00062E22"/>
    <w:rsid w:val="000634A1"/>
    <w:rsid w:val="00067135"/>
    <w:rsid w:val="00070FA8"/>
    <w:rsid w:val="00074E18"/>
    <w:rsid w:val="00084C1B"/>
    <w:rsid w:val="000A2C07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70175"/>
    <w:rsid w:val="001919BD"/>
    <w:rsid w:val="0019305A"/>
    <w:rsid w:val="00194754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36F63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A70FE"/>
    <w:rsid w:val="002C7314"/>
    <w:rsid w:val="002E2A03"/>
    <w:rsid w:val="002E305F"/>
    <w:rsid w:val="002E6811"/>
    <w:rsid w:val="002E682F"/>
    <w:rsid w:val="002F19BC"/>
    <w:rsid w:val="002F4466"/>
    <w:rsid w:val="002F452D"/>
    <w:rsid w:val="002F7E6D"/>
    <w:rsid w:val="00316AC4"/>
    <w:rsid w:val="00316D48"/>
    <w:rsid w:val="00316FD9"/>
    <w:rsid w:val="00317BBC"/>
    <w:rsid w:val="00320001"/>
    <w:rsid w:val="00333998"/>
    <w:rsid w:val="00334EC6"/>
    <w:rsid w:val="00356AB4"/>
    <w:rsid w:val="00367B25"/>
    <w:rsid w:val="003742E2"/>
    <w:rsid w:val="0037722E"/>
    <w:rsid w:val="00380F1B"/>
    <w:rsid w:val="0038546D"/>
    <w:rsid w:val="0038768D"/>
    <w:rsid w:val="003A3C6A"/>
    <w:rsid w:val="003A45F5"/>
    <w:rsid w:val="003A553F"/>
    <w:rsid w:val="003A713C"/>
    <w:rsid w:val="003A7870"/>
    <w:rsid w:val="003B302E"/>
    <w:rsid w:val="003B622C"/>
    <w:rsid w:val="003C5D9A"/>
    <w:rsid w:val="003C75EF"/>
    <w:rsid w:val="003D4207"/>
    <w:rsid w:val="003D58FA"/>
    <w:rsid w:val="003E2914"/>
    <w:rsid w:val="003F356B"/>
    <w:rsid w:val="004006DA"/>
    <w:rsid w:val="00402705"/>
    <w:rsid w:val="00406B5F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0692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6423"/>
    <w:rsid w:val="00737330"/>
    <w:rsid w:val="00745427"/>
    <w:rsid w:val="00761885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52B"/>
    <w:rsid w:val="00833E0E"/>
    <w:rsid w:val="00836281"/>
    <w:rsid w:val="00843069"/>
    <w:rsid w:val="00843558"/>
    <w:rsid w:val="00847D03"/>
    <w:rsid w:val="008529A5"/>
    <w:rsid w:val="00854FF0"/>
    <w:rsid w:val="00861F6B"/>
    <w:rsid w:val="00865296"/>
    <w:rsid w:val="008663C9"/>
    <w:rsid w:val="00866589"/>
    <w:rsid w:val="008777C3"/>
    <w:rsid w:val="00884BBA"/>
    <w:rsid w:val="00885420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1799"/>
    <w:rsid w:val="00A04628"/>
    <w:rsid w:val="00A04848"/>
    <w:rsid w:val="00A103C8"/>
    <w:rsid w:val="00A124CC"/>
    <w:rsid w:val="00A14286"/>
    <w:rsid w:val="00A31B0D"/>
    <w:rsid w:val="00A35B11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1B5F"/>
    <w:rsid w:val="00B052D1"/>
    <w:rsid w:val="00B063A4"/>
    <w:rsid w:val="00B11259"/>
    <w:rsid w:val="00B134A4"/>
    <w:rsid w:val="00B1776F"/>
    <w:rsid w:val="00B23B1B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66DD"/>
    <w:rsid w:val="00BA70A0"/>
    <w:rsid w:val="00BB2A9A"/>
    <w:rsid w:val="00BB7B0B"/>
    <w:rsid w:val="00BC4F78"/>
    <w:rsid w:val="00BC68C3"/>
    <w:rsid w:val="00BC7D29"/>
    <w:rsid w:val="00BD02CC"/>
    <w:rsid w:val="00BD22CC"/>
    <w:rsid w:val="00BD3E87"/>
    <w:rsid w:val="00BD5F33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7D6F"/>
    <w:rsid w:val="00C33B8A"/>
    <w:rsid w:val="00C40FEE"/>
    <w:rsid w:val="00C42809"/>
    <w:rsid w:val="00C45B98"/>
    <w:rsid w:val="00C51B7B"/>
    <w:rsid w:val="00C5529E"/>
    <w:rsid w:val="00C67405"/>
    <w:rsid w:val="00C7496D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61B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5DB1"/>
    <w:rsid w:val="00E374CF"/>
    <w:rsid w:val="00E3754E"/>
    <w:rsid w:val="00E40CE3"/>
    <w:rsid w:val="00E40EC7"/>
    <w:rsid w:val="00E41853"/>
    <w:rsid w:val="00E43046"/>
    <w:rsid w:val="00E47000"/>
    <w:rsid w:val="00E54914"/>
    <w:rsid w:val="00E5573B"/>
    <w:rsid w:val="00E635C2"/>
    <w:rsid w:val="00E6660B"/>
    <w:rsid w:val="00E70626"/>
    <w:rsid w:val="00E71E02"/>
    <w:rsid w:val="00E75531"/>
    <w:rsid w:val="00E830FD"/>
    <w:rsid w:val="00E8353F"/>
    <w:rsid w:val="00E8459A"/>
    <w:rsid w:val="00E90A7B"/>
    <w:rsid w:val="00E9273C"/>
    <w:rsid w:val="00E936E1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0AE3"/>
    <w:rsid w:val="00F36A4D"/>
    <w:rsid w:val="00F4081B"/>
    <w:rsid w:val="00F44CDF"/>
    <w:rsid w:val="00F46DFD"/>
    <w:rsid w:val="00F65016"/>
    <w:rsid w:val="00F65287"/>
    <w:rsid w:val="00F66DD4"/>
    <w:rsid w:val="00F72BFF"/>
    <w:rsid w:val="00F7522F"/>
    <w:rsid w:val="00F77A8D"/>
    <w:rsid w:val="00F77BAA"/>
    <w:rsid w:val="00F81279"/>
    <w:rsid w:val="00F8453E"/>
    <w:rsid w:val="00F8546C"/>
    <w:rsid w:val="00F86F67"/>
    <w:rsid w:val="00F87239"/>
    <w:rsid w:val="00F95924"/>
    <w:rsid w:val="00FA0455"/>
    <w:rsid w:val="00FA0EC5"/>
    <w:rsid w:val="00FA64FA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99BF34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553F"/>
    <w:pPr>
      <w:widowControl/>
      <w:overflowPunct/>
      <w:autoSpaceDE/>
      <w:autoSpaceDN/>
      <w:adjustRightInd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Sumeja Kodra</cp:lastModifiedBy>
  <cp:revision>29</cp:revision>
  <cp:lastPrinted>2011-06-03T08:36:00Z</cp:lastPrinted>
  <dcterms:created xsi:type="dcterms:W3CDTF">2016-03-03T09:10:00Z</dcterms:created>
  <dcterms:modified xsi:type="dcterms:W3CDTF">2023-08-22T08:40:00Z</dcterms:modified>
</cp:coreProperties>
</file>